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6" w:type="dxa"/>
        <w:tblCellSpacing w:w="0" w:type="dxa"/>
        <w:tblInd w:w="-1187" w:type="dxa"/>
        <w:tblCellMar>
          <w:left w:w="0" w:type="dxa"/>
          <w:right w:w="0" w:type="dxa"/>
        </w:tblCellMar>
        <w:tblLook w:val="04A0"/>
      </w:tblPr>
      <w:tblGrid>
        <w:gridCol w:w="10696"/>
      </w:tblGrid>
      <w:tr w:rsidR="003E371A" w:rsidRPr="003E371A" w:rsidTr="003E371A">
        <w:trPr>
          <w:trHeight w:val="900"/>
          <w:tblCellSpacing w:w="0" w:type="dxa"/>
        </w:trPr>
        <w:tc>
          <w:tcPr>
            <w:tcW w:w="0" w:type="auto"/>
            <w:vAlign w:val="center"/>
            <w:hideMark/>
          </w:tcPr>
          <w:p w:rsidR="003E371A" w:rsidRPr="003E371A" w:rsidRDefault="003E371A" w:rsidP="003E371A">
            <w:pPr>
              <w:widowControl/>
              <w:jc w:val="center"/>
              <w:rPr>
                <w:rFonts w:ascii="宋体" w:eastAsia="宋体" w:hAnsi="宋体" w:cs="宋体"/>
                <w:b/>
                <w:bCs/>
                <w:color w:val="4C4C4C"/>
                <w:kern w:val="0"/>
                <w:sz w:val="30"/>
                <w:szCs w:val="30"/>
              </w:rPr>
            </w:pPr>
            <w:r w:rsidRPr="003E371A">
              <w:rPr>
                <w:rFonts w:ascii="宋体" w:eastAsia="宋体" w:hAnsi="宋体" w:cs="宋体" w:hint="eastAsia"/>
                <w:b/>
                <w:bCs/>
                <w:color w:val="4C4C4C"/>
                <w:kern w:val="0"/>
                <w:sz w:val="30"/>
                <w:szCs w:val="30"/>
              </w:rPr>
              <w:t>北京市教育委员会关于印发北京高等学校高水平人才交叉培养计划的通知</w:t>
            </w:r>
          </w:p>
        </w:tc>
      </w:tr>
      <w:tr w:rsidR="003E371A" w:rsidRPr="003E371A" w:rsidTr="003E371A">
        <w:trPr>
          <w:trHeight w:val="15"/>
          <w:tblCellSpacing w:w="0" w:type="dxa"/>
        </w:trPr>
        <w:tc>
          <w:tcPr>
            <w:tcW w:w="0" w:type="auto"/>
            <w:shd w:val="clear" w:color="auto" w:fill="DDDDDD"/>
            <w:vAlign w:val="center"/>
            <w:hideMark/>
          </w:tcPr>
          <w:p w:rsidR="003E371A" w:rsidRPr="003E371A" w:rsidRDefault="003E371A" w:rsidP="003E371A">
            <w:pPr>
              <w:widowControl/>
              <w:jc w:val="left"/>
              <w:rPr>
                <w:rFonts w:ascii="宋体" w:eastAsia="宋体" w:hAnsi="宋体" w:cs="宋体"/>
                <w:kern w:val="0"/>
                <w:sz w:val="2"/>
                <w:szCs w:val="24"/>
              </w:rPr>
            </w:pPr>
          </w:p>
        </w:tc>
      </w:tr>
      <w:tr w:rsidR="003E371A" w:rsidRPr="003E371A" w:rsidTr="003E371A">
        <w:trPr>
          <w:trHeight w:val="75"/>
          <w:tblCellSpacing w:w="0" w:type="dxa"/>
        </w:trPr>
        <w:tc>
          <w:tcPr>
            <w:tcW w:w="0" w:type="auto"/>
            <w:vAlign w:val="center"/>
            <w:hideMark/>
          </w:tcPr>
          <w:p w:rsidR="003E371A" w:rsidRPr="003E371A" w:rsidRDefault="003E371A" w:rsidP="003E371A">
            <w:pPr>
              <w:widowControl/>
              <w:jc w:val="left"/>
              <w:rPr>
                <w:rFonts w:ascii="宋体" w:eastAsia="宋体" w:hAnsi="宋体" w:cs="宋体"/>
                <w:kern w:val="0"/>
                <w:sz w:val="8"/>
                <w:szCs w:val="24"/>
              </w:rPr>
            </w:pPr>
          </w:p>
        </w:tc>
      </w:tr>
      <w:tr w:rsidR="003E371A" w:rsidRPr="003E371A" w:rsidTr="003E371A">
        <w:trPr>
          <w:trHeight w:val="75"/>
          <w:tblCellSpacing w:w="0" w:type="dxa"/>
        </w:trPr>
        <w:tc>
          <w:tcPr>
            <w:tcW w:w="0" w:type="auto"/>
            <w:vAlign w:val="center"/>
            <w:hideMark/>
          </w:tcPr>
          <w:p w:rsidR="003E371A" w:rsidRPr="003E371A" w:rsidRDefault="003E371A" w:rsidP="003E371A">
            <w:pPr>
              <w:widowControl/>
              <w:jc w:val="left"/>
              <w:rPr>
                <w:rFonts w:ascii="宋体" w:eastAsia="宋体" w:hAnsi="宋体" w:cs="宋体"/>
                <w:kern w:val="0"/>
                <w:sz w:val="8"/>
                <w:szCs w:val="24"/>
              </w:rPr>
            </w:pPr>
          </w:p>
        </w:tc>
      </w:tr>
      <w:tr w:rsidR="003E371A" w:rsidRPr="003E371A" w:rsidTr="003E371A">
        <w:trPr>
          <w:tblCellSpacing w:w="0" w:type="dxa"/>
        </w:trPr>
        <w:tc>
          <w:tcPr>
            <w:tcW w:w="0" w:type="auto"/>
            <w:hideMark/>
          </w:tcPr>
          <w:p w:rsidR="003E371A" w:rsidRPr="003E371A" w:rsidRDefault="003E371A" w:rsidP="003E371A">
            <w:pPr>
              <w:widowControl/>
              <w:spacing w:line="375" w:lineRule="atLeast"/>
              <w:jc w:val="left"/>
              <w:rPr>
                <w:rFonts w:ascii="宋体" w:eastAsia="宋体" w:hAnsi="宋体" w:cs="宋体"/>
                <w:kern w:val="0"/>
                <w:sz w:val="18"/>
                <w:szCs w:val="18"/>
              </w:rPr>
            </w:pPr>
          </w:p>
        </w:tc>
      </w:tr>
    </w:tbl>
    <w:tbl>
      <w:tblPr>
        <w:tblpPr w:leftFromText="180" w:rightFromText="180" w:vertAnchor="text" w:horzAnchor="margin" w:tblpXSpec="center" w:tblpY="230"/>
        <w:tblOverlap w:val="never"/>
        <w:tblW w:w="10680" w:type="dxa"/>
        <w:tblCellSpacing w:w="15" w:type="dxa"/>
        <w:tblBorders>
          <w:top w:val="dashed" w:sz="6" w:space="0" w:color="CCCCCC"/>
          <w:left w:val="dashed" w:sz="6" w:space="0" w:color="CCCCCC"/>
          <w:bottom w:val="dashed" w:sz="6" w:space="0" w:color="CCCCCC"/>
          <w:right w:val="dashed" w:sz="6" w:space="0" w:color="CCCCCC"/>
        </w:tblBorders>
        <w:tblCellMar>
          <w:top w:w="15" w:type="dxa"/>
          <w:left w:w="15" w:type="dxa"/>
          <w:bottom w:w="15" w:type="dxa"/>
          <w:right w:w="15" w:type="dxa"/>
        </w:tblCellMar>
        <w:tblLook w:val="04A0"/>
      </w:tblPr>
      <w:tblGrid>
        <w:gridCol w:w="10680"/>
      </w:tblGrid>
      <w:tr w:rsidR="003E371A" w:rsidRPr="003E371A" w:rsidTr="003E371A">
        <w:trPr>
          <w:tblCellSpacing w:w="15" w:type="dxa"/>
        </w:trPr>
        <w:tc>
          <w:tcPr>
            <w:tcW w:w="0" w:type="auto"/>
            <w:vAlign w:val="center"/>
            <w:hideMark/>
          </w:tcPr>
          <w:p w:rsidR="003E371A" w:rsidRPr="003E371A" w:rsidRDefault="003E371A" w:rsidP="003E371A">
            <w:pPr>
              <w:widowControl/>
              <w:jc w:val="center"/>
              <w:rPr>
                <w:rFonts w:ascii="宋体" w:eastAsia="宋体" w:hAnsi="宋体" w:cs="宋体"/>
                <w:kern w:val="0"/>
                <w:sz w:val="24"/>
                <w:szCs w:val="24"/>
              </w:rPr>
            </w:pPr>
            <w:r w:rsidRPr="003E371A">
              <w:rPr>
                <w:rFonts w:ascii="宋体" w:eastAsia="宋体" w:hAnsi="宋体" w:cs="宋体"/>
                <w:kern w:val="0"/>
                <w:sz w:val="24"/>
                <w:szCs w:val="24"/>
              </w:rPr>
              <w:br/>
              <w:t>京教高〔2015〕1号</w:t>
            </w:r>
          </w:p>
          <w:p w:rsidR="003E371A" w:rsidRPr="003E371A" w:rsidRDefault="003E371A" w:rsidP="003E371A">
            <w:pPr>
              <w:widowControl/>
              <w:jc w:val="left"/>
              <w:rPr>
                <w:rFonts w:ascii="宋体" w:eastAsia="宋体" w:hAnsi="宋体" w:cs="宋体"/>
                <w:kern w:val="0"/>
                <w:sz w:val="24"/>
                <w:szCs w:val="24"/>
              </w:rPr>
            </w:pPr>
            <w:r w:rsidRPr="003E371A">
              <w:rPr>
                <w:rFonts w:ascii="宋体" w:eastAsia="宋体" w:hAnsi="宋体" w:cs="宋体"/>
                <w:kern w:val="0"/>
                <w:sz w:val="24"/>
                <w:szCs w:val="24"/>
              </w:rPr>
              <w:t>各有关高校：</w:t>
            </w:r>
            <w:r w:rsidRPr="003E371A">
              <w:rPr>
                <w:rFonts w:ascii="宋体" w:eastAsia="宋体" w:hAnsi="宋体" w:cs="宋体"/>
                <w:kern w:val="0"/>
                <w:sz w:val="24"/>
                <w:szCs w:val="24"/>
              </w:rPr>
              <w:br/>
              <w:t xml:space="preserve">　　现将《北京高等学校高水平人才交叉培养计划》印发给你们,请各高校根据要求深入贯彻落实，保证计划稳步推进。</w:t>
            </w:r>
          </w:p>
          <w:p w:rsidR="003E371A" w:rsidRPr="003E371A" w:rsidRDefault="003E371A" w:rsidP="003E371A">
            <w:pPr>
              <w:widowControl/>
              <w:jc w:val="left"/>
              <w:rPr>
                <w:rFonts w:ascii="宋体" w:eastAsia="宋体" w:hAnsi="宋体" w:cs="宋体"/>
                <w:kern w:val="0"/>
                <w:sz w:val="24"/>
                <w:szCs w:val="24"/>
              </w:rPr>
            </w:pPr>
            <w:r w:rsidRPr="003E371A">
              <w:rPr>
                <w:rFonts w:ascii="宋体" w:eastAsia="宋体" w:hAnsi="宋体" w:cs="宋体"/>
                <w:kern w:val="0"/>
                <w:sz w:val="24"/>
                <w:szCs w:val="24"/>
              </w:rPr>
              <w:t xml:space="preserve">                                             </w:t>
            </w:r>
            <w:r w:rsidRPr="003E371A">
              <w:rPr>
                <w:rFonts w:ascii="宋体" w:eastAsia="宋体" w:hAnsi="宋体" w:cs="宋体"/>
                <w:kern w:val="0"/>
                <w:sz w:val="24"/>
                <w:szCs w:val="24"/>
              </w:rPr>
              <w:br/>
              <w:t> </w:t>
            </w:r>
          </w:p>
          <w:p w:rsidR="003E371A" w:rsidRPr="003E371A" w:rsidRDefault="003E371A" w:rsidP="003E371A">
            <w:pPr>
              <w:widowControl/>
              <w:jc w:val="right"/>
              <w:rPr>
                <w:rFonts w:ascii="宋体" w:eastAsia="宋体" w:hAnsi="宋体" w:cs="宋体"/>
                <w:kern w:val="0"/>
                <w:sz w:val="24"/>
                <w:szCs w:val="24"/>
              </w:rPr>
            </w:pPr>
            <w:r w:rsidRPr="003E371A">
              <w:rPr>
                <w:rFonts w:ascii="宋体" w:eastAsia="宋体" w:hAnsi="宋体" w:cs="宋体"/>
                <w:kern w:val="0"/>
                <w:sz w:val="24"/>
                <w:szCs w:val="24"/>
              </w:rPr>
              <w:t>北京市教育委员会</w:t>
            </w:r>
            <w:r w:rsidRPr="003E371A">
              <w:rPr>
                <w:rFonts w:ascii="宋体" w:eastAsia="宋体" w:hAnsi="宋体" w:cs="宋体"/>
                <w:kern w:val="0"/>
                <w:sz w:val="24"/>
                <w:szCs w:val="24"/>
              </w:rPr>
              <w:br/>
              <w:t>2015年3月10日</w:t>
            </w:r>
          </w:p>
          <w:p w:rsidR="003E371A" w:rsidRPr="003E371A" w:rsidRDefault="003E371A" w:rsidP="003E371A">
            <w:pPr>
              <w:widowControl/>
              <w:jc w:val="left"/>
              <w:rPr>
                <w:rFonts w:ascii="宋体" w:eastAsia="宋体" w:hAnsi="宋体" w:cs="宋体"/>
                <w:kern w:val="0"/>
                <w:sz w:val="24"/>
                <w:szCs w:val="24"/>
              </w:rPr>
            </w:pPr>
            <w:r w:rsidRPr="003E371A">
              <w:rPr>
                <w:rFonts w:ascii="宋体" w:eastAsia="宋体" w:hAnsi="宋体" w:cs="宋体"/>
                <w:kern w:val="0"/>
                <w:sz w:val="24"/>
                <w:szCs w:val="24"/>
              </w:rPr>
              <w:t> </w:t>
            </w:r>
          </w:p>
          <w:p w:rsidR="003E371A" w:rsidRPr="003E371A" w:rsidRDefault="003E371A" w:rsidP="003E371A">
            <w:pPr>
              <w:widowControl/>
              <w:spacing w:after="240"/>
              <w:jc w:val="center"/>
              <w:rPr>
                <w:rFonts w:ascii="宋体" w:eastAsia="宋体" w:hAnsi="宋体" w:cs="宋体"/>
                <w:kern w:val="0"/>
                <w:sz w:val="24"/>
                <w:szCs w:val="24"/>
              </w:rPr>
            </w:pPr>
            <w:r w:rsidRPr="003E371A">
              <w:rPr>
                <w:rFonts w:ascii="宋体" w:eastAsia="宋体" w:hAnsi="宋体" w:cs="宋体"/>
                <w:kern w:val="0"/>
                <w:sz w:val="24"/>
                <w:szCs w:val="24"/>
              </w:rPr>
              <w:br/>
              <w:t>北京高等学校高水平人才交叉培养计划</w:t>
            </w:r>
          </w:p>
          <w:p w:rsidR="003E371A" w:rsidRPr="003E371A" w:rsidRDefault="003E371A" w:rsidP="003E371A">
            <w:pPr>
              <w:widowControl/>
              <w:jc w:val="left"/>
              <w:rPr>
                <w:rFonts w:ascii="宋体" w:eastAsia="宋体" w:hAnsi="宋体" w:cs="宋体"/>
                <w:kern w:val="0"/>
                <w:sz w:val="24"/>
                <w:szCs w:val="24"/>
              </w:rPr>
            </w:pPr>
            <w:r w:rsidRPr="003E371A">
              <w:rPr>
                <w:rFonts w:ascii="宋体" w:eastAsia="宋体" w:hAnsi="宋体" w:cs="宋体"/>
                <w:kern w:val="0"/>
                <w:sz w:val="24"/>
                <w:szCs w:val="24"/>
              </w:rPr>
              <w:t xml:space="preserve">    </w:t>
            </w:r>
            <w:r w:rsidRPr="003E371A">
              <w:rPr>
                <w:rFonts w:ascii="宋体" w:eastAsia="宋体" w:hAnsi="宋体" w:cs="宋体"/>
                <w:kern w:val="0"/>
                <w:sz w:val="24"/>
                <w:szCs w:val="24"/>
              </w:rPr>
              <w:br/>
              <w:t xml:space="preserve">　　北京高等教育正处在全面深化改革的关键机遇期，承载着为全社会提供高端人才智力支持，将北京建设成为全国政治中心、文化中心、国际交往中心、科技创新中心的重大历史责任。为进一步创新高水平人才培养机制，切实满足高校学生对优质教育资源的需求，激发各高校特别是市属高校教育教学改革活力，全面提升高校办学水平，促进北京教育均衡发展，特制定本计划。</w:t>
            </w:r>
            <w:r w:rsidRPr="003E371A">
              <w:rPr>
                <w:rFonts w:ascii="宋体" w:eastAsia="宋体" w:hAnsi="宋体" w:cs="宋体"/>
                <w:kern w:val="0"/>
                <w:sz w:val="24"/>
                <w:szCs w:val="24"/>
              </w:rPr>
              <w:br/>
              <w:t xml:space="preserve">　　一、指导思想</w:t>
            </w:r>
            <w:r w:rsidRPr="003E371A">
              <w:rPr>
                <w:rFonts w:ascii="宋体" w:eastAsia="宋体" w:hAnsi="宋体" w:cs="宋体"/>
                <w:kern w:val="0"/>
                <w:sz w:val="24"/>
                <w:szCs w:val="24"/>
              </w:rPr>
              <w:br/>
              <w:t xml:space="preserve">　　紧密契合经济社会发展重大需求，通过强化北京地区高校之间的合作、北京高校与海（境）外名校的合作、高校与科研院所和企事业单位的合作，实现专业学科的交叉融合和优质教育资源的充分共享，深化北京地区高校特别是市属高校人才培养机制改革，显著增强高水平人才培养质量，提升北京高等教育国际合作和整体发展水平，更好地发挥其在服务国家和北京经济社会发展中的重要作用。</w:t>
            </w:r>
            <w:r w:rsidRPr="003E371A">
              <w:rPr>
                <w:rFonts w:ascii="宋体" w:eastAsia="宋体" w:hAnsi="宋体" w:cs="宋体"/>
                <w:kern w:val="0"/>
                <w:sz w:val="24"/>
                <w:szCs w:val="24"/>
              </w:rPr>
              <w:br/>
              <w:t xml:space="preserve">　　二、建设原则</w:t>
            </w:r>
            <w:r w:rsidRPr="003E371A">
              <w:rPr>
                <w:rFonts w:ascii="宋体" w:eastAsia="宋体" w:hAnsi="宋体" w:cs="宋体"/>
                <w:kern w:val="0"/>
                <w:sz w:val="24"/>
                <w:szCs w:val="24"/>
              </w:rPr>
              <w:br/>
              <w:t xml:space="preserve">　　秉承“综合改革、创新机制，交叉融合、资源共享”的原则，加强宏观统筹，强化顶层设计，瞄准北京高等教育高水平人才培养重点难点问题，开展系统性改革，努力突破北京地区高校之间的壁垒，深化北京高校与海（境）外名校之间的交流合作，形成各高校优势专业学科资源在人才培养方面的合力，实现高校教育资源与社会资源的共享，建立全方位、宽领域、多层次的高水平人才交叉培养长效协作发展新机制，促进教育公平。</w:t>
            </w:r>
            <w:r w:rsidRPr="003E371A">
              <w:rPr>
                <w:rFonts w:ascii="宋体" w:eastAsia="宋体" w:hAnsi="宋体" w:cs="宋体"/>
                <w:kern w:val="0"/>
                <w:sz w:val="24"/>
                <w:szCs w:val="24"/>
              </w:rPr>
              <w:br/>
              <w:t xml:space="preserve">　　三、建设目标</w:t>
            </w:r>
            <w:r w:rsidRPr="003E371A">
              <w:rPr>
                <w:rFonts w:ascii="宋体" w:eastAsia="宋体" w:hAnsi="宋体" w:cs="宋体"/>
                <w:kern w:val="0"/>
                <w:sz w:val="24"/>
                <w:szCs w:val="24"/>
              </w:rPr>
              <w:br/>
              <w:t xml:space="preserve">　　经过3至5年的建设，初步形成有利于北京地区高校高水平人才培养的新格局，充分发挥北京高等教育优质资源效力，提升北京高校学生的专业水平、创新能力、综合素质；激发高校改革创新活力，实现体制机制突破，形成中央高校优势带动、市属高校奋起争先、北京高等教育质量全面提升的新态势；实现北京高等教育与基础教育的良性联动，促进北京地区教育公平发展。</w:t>
            </w:r>
            <w:r w:rsidRPr="003E371A">
              <w:rPr>
                <w:rFonts w:ascii="宋体" w:eastAsia="宋体" w:hAnsi="宋体" w:cs="宋体"/>
                <w:kern w:val="0"/>
                <w:sz w:val="24"/>
                <w:szCs w:val="24"/>
              </w:rPr>
              <w:br/>
              <w:t xml:space="preserve">　　四、重点工作</w:t>
            </w:r>
            <w:r w:rsidRPr="003E371A">
              <w:rPr>
                <w:rFonts w:ascii="宋体" w:eastAsia="宋体" w:hAnsi="宋体" w:cs="宋体"/>
                <w:kern w:val="0"/>
                <w:sz w:val="24"/>
                <w:szCs w:val="24"/>
              </w:rPr>
              <w:br/>
              <w:t xml:space="preserve">　　（一）实施由北京市属高校与在京中央高校双方共同培养优秀学生的“双培计划”</w:t>
            </w:r>
            <w:r w:rsidRPr="003E371A">
              <w:rPr>
                <w:rFonts w:ascii="宋体" w:eastAsia="宋体" w:hAnsi="宋体" w:cs="宋体"/>
                <w:kern w:val="0"/>
                <w:sz w:val="24"/>
                <w:szCs w:val="24"/>
              </w:rPr>
              <w:br/>
              <w:t xml:space="preserve">　　每年遴选一批市属高校优秀学生到在京中央高校访学。输送部分学生按照“3+1”、“1+2+1”式等培养机制，在中央高校进行为期2至3年的中长期访学；同时，每年遴选部分市属高校优秀学生，输送到在京中央高校开设的、北京社会急需的专业，开展为期1年的短期访学，充分发挥中央高校优势专业力量，使学生接受优质核心课程教育；充分利用中央高校开办的暑期学校等形式的资源，每年</w:t>
            </w:r>
            <w:r w:rsidRPr="003E371A">
              <w:rPr>
                <w:rFonts w:ascii="宋体" w:eastAsia="宋体" w:hAnsi="宋体" w:cs="宋体"/>
                <w:kern w:val="0"/>
                <w:sz w:val="24"/>
                <w:szCs w:val="24"/>
              </w:rPr>
              <w:lastRenderedPageBreak/>
              <w:t>遴选部分市属高校优秀学生到中央高校修习辅修专业。</w:t>
            </w:r>
            <w:r w:rsidRPr="003E371A">
              <w:rPr>
                <w:rFonts w:ascii="宋体" w:eastAsia="宋体" w:hAnsi="宋体" w:cs="宋体"/>
                <w:kern w:val="0"/>
                <w:sz w:val="24"/>
                <w:szCs w:val="24"/>
              </w:rPr>
              <w:br/>
              <w:t xml:space="preserve">　　（二）实施由北京市属高校与海（境）外名校双方共同培养优秀学生的“外培计划”</w:t>
            </w:r>
            <w:r w:rsidRPr="003E371A">
              <w:rPr>
                <w:rFonts w:ascii="宋体" w:eastAsia="宋体" w:hAnsi="宋体" w:cs="宋体"/>
                <w:kern w:val="0"/>
                <w:sz w:val="24"/>
                <w:szCs w:val="24"/>
              </w:rPr>
              <w:br/>
              <w:t xml:space="preserve">　　支持部分市属高校学生到海（境）外知名高校开展为期2年的访学活动。市教委加强宏观指导和统筹，联系海（境）外名校建立若干个北京高等教育“外培计划海（境）外基地”，接收市属高校优秀学生访学，探索学生海（境）外培养新机制。鼓励和支持各市属高校积极与海（境）外知名高校建立学生培养长效机制，遴选优秀学生开展海（境）外访学活动。鼓励中央高校发挥自身在国际交流中的优势带动作用，为市属高校学生到海（境）外开展访学活动拓展渠道。</w:t>
            </w:r>
            <w:r w:rsidRPr="003E371A">
              <w:rPr>
                <w:rFonts w:ascii="宋体" w:eastAsia="宋体" w:hAnsi="宋体" w:cs="宋体"/>
                <w:kern w:val="0"/>
                <w:sz w:val="24"/>
                <w:szCs w:val="24"/>
              </w:rPr>
              <w:br/>
              <w:t xml:space="preserve">　　（三）实施以提高学生实习实践和科研创新能力为目的的“实培计划”</w:t>
            </w:r>
            <w:r w:rsidRPr="003E371A">
              <w:rPr>
                <w:rFonts w:ascii="宋体" w:eastAsia="宋体" w:hAnsi="宋体" w:cs="宋体"/>
                <w:kern w:val="0"/>
                <w:sz w:val="24"/>
                <w:szCs w:val="24"/>
              </w:rPr>
              <w:br/>
              <w:t xml:space="preserve">　　每年从市属高校遴选一批具有较好专业基础和一定科研创新能力的优秀学生，进入中央高校的院士工作室、教授实验室、科研创新团队、工程中心，接受科研创新训练，提升实践创新能力。继续加强高校与企事业单位的合作，全面建设并开放高校与社会各界共建的优秀校外人才培养基地，每年接收若干名市属高校优秀学生到实际工作岗位中接受培训，在实习实践中印证知识、锻炼技能、启发新知，保证学生学有所成、学有所用。加强高校与中科院、社科院等国内知名科研单位的交流合作，每年派遣一批具有较强科研能力的学生，通过毕业论文（设计）等形式进入科研院所学习和参与科学研究。</w:t>
            </w:r>
            <w:r w:rsidRPr="003E371A">
              <w:rPr>
                <w:rFonts w:ascii="宋体" w:eastAsia="宋体" w:hAnsi="宋体" w:cs="宋体"/>
                <w:kern w:val="0"/>
                <w:sz w:val="24"/>
                <w:szCs w:val="24"/>
              </w:rPr>
              <w:br/>
              <w:t xml:space="preserve">　　五、保障机制</w:t>
            </w:r>
            <w:r w:rsidRPr="003E371A">
              <w:rPr>
                <w:rFonts w:ascii="宋体" w:eastAsia="宋体" w:hAnsi="宋体" w:cs="宋体"/>
                <w:kern w:val="0"/>
                <w:sz w:val="24"/>
                <w:szCs w:val="24"/>
              </w:rPr>
              <w:br/>
              <w:t xml:space="preserve">　　（一）健全组织保障</w:t>
            </w:r>
            <w:r w:rsidRPr="003E371A">
              <w:rPr>
                <w:rFonts w:ascii="宋体" w:eastAsia="宋体" w:hAnsi="宋体" w:cs="宋体"/>
                <w:kern w:val="0"/>
                <w:sz w:val="24"/>
                <w:szCs w:val="24"/>
              </w:rPr>
              <w:br/>
              <w:t xml:space="preserve">　　各高校要提高认识，根据本计划实施的具体要求，成立由校主要领导牵头的计划实施领导小组，结合本校实际情况，加强顶层设计和统筹协调，把相关工作纳入工作计划和议事日程，有力推动各项目的开展，形成高水平人才交叉培养工作的合力。</w:t>
            </w:r>
            <w:r w:rsidRPr="003E371A">
              <w:rPr>
                <w:rFonts w:ascii="宋体" w:eastAsia="宋体" w:hAnsi="宋体" w:cs="宋体"/>
                <w:kern w:val="0"/>
                <w:sz w:val="24"/>
                <w:szCs w:val="24"/>
              </w:rPr>
              <w:br/>
              <w:t xml:space="preserve">　　（二）规范人才选拔机制</w:t>
            </w:r>
            <w:r w:rsidRPr="003E371A">
              <w:rPr>
                <w:rFonts w:ascii="宋体" w:eastAsia="宋体" w:hAnsi="宋体" w:cs="宋体"/>
                <w:kern w:val="0"/>
                <w:sz w:val="24"/>
                <w:szCs w:val="24"/>
              </w:rPr>
              <w:br/>
              <w:t xml:space="preserve">　　部分“双培计划”、“外培计划”人才选拔计划列入北京市属高校高招计划，向北京各区县投放指标，并在招生简章中明确标注。本计划实施过程中，在人才选拔方面要保证公开透明，注重对北京远郊区县的政策支持，注重优秀教师后备人才培养。</w:t>
            </w:r>
            <w:r w:rsidRPr="003E371A">
              <w:rPr>
                <w:rFonts w:ascii="宋体" w:eastAsia="宋体" w:hAnsi="宋体" w:cs="宋体"/>
                <w:kern w:val="0"/>
                <w:sz w:val="24"/>
                <w:szCs w:val="24"/>
              </w:rPr>
              <w:br/>
              <w:t xml:space="preserve">　　（三）强化人才培养机制</w:t>
            </w:r>
            <w:r w:rsidRPr="003E371A">
              <w:rPr>
                <w:rFonts w:ascii="宋体" w:eastAsia="宋体" w:hAnsi="宋体" w:cs="宋体"/>
                <w:kern w:val="0"/>
                <w:sz w:val="24"/>
                <w:szCs w:val="24"/>
              </w:rPr>
              <w:br/>
              <w:t xml:space="preserve">　　鼓励各高校加强专业建设、课程建设、实践教学改革、师资队伍建设，保证人才培养质量的不断提升。深入开展学分制改革，实现北京地区高校之间的学分互认。强化专项资金支持，加强经费使用管理。</w:t>
            </w:r>
            <w:r w:rsidRPr="003E371A">
              <w:rPr>
                <w:rFonts w:ascii="宋体" w:eastAsia="宋体" w:hAnsi="宋体" w:cs="宋体"/>
                <w:kern w:val="0"/>
                <w:sz w:val="24"/>
                <w:szCs w:val="24"/>
              </w:rPr>
              <w:br/>
              <w:t xml:space="preserve">　　（四）完善评价机制</w:t>
            </w:r>
            <w:r w:rsidRPr="003E371A">
              <w:rPr>
                <w:rFonts w:ascii="宋体" w:eastAsia="宋体" w:hAnsi="宋体" w:cs="宋体"/>
                <w:kern w:val="0"/>
                <w:sz w:val="24"/>
                <w:szCs w:val="24"/>
              </w:rPr>
              <w:br/>
              <w:t xml:space="preserve">　　科学设计评价指标，建立符合国情和北京发展实际的评价体系，综合考虑各类高校的定位，建立科学可行的分类管理办法，将各校推进“高水平人才交叉培养计划”工作情况纳入考核体系，引导高校在人才培养方面办出特色、办出水平。</w:t>
            </w:r>
          </w:p>
        </w:tc>
      </w:tr>
    </w:tbl>
    <w:p w:rsidR="0077492D" w:rsidRPr="003E371A" w:rsidRDefault="0077492D"/>
    <w:sectPr w:rsidR="0077492D" w:rsidRPr="003E371A" w:rsidSect="00774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30" w:rsidRDefault="00D03F30" w:rsidP="003E371A">
      <w:r>
        <w:separator/>
      </w:r>
    </w:p>
  </w:endnote>
  <w:endnote w:type="continuationSeparator" w:id="0">
    <w:p w:rsidR="00D03F30" w:rsidRDefault="00D03F30" w:rsidP="003E3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30" w:rsidRDefault="00D03F30" w:rsidP="003E371A">
      <w:r>
        <w:separator/>
      </w:r>
    </w:p>
  </w:footnote>
  <w:footnote w:type="continuationSeparator" w:id="0">
    <w:p w:rsidR="00D03F30" w:rsidRDefault="00D03F30" w:rsidP="003E3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71A"/>
    <w:rsid w:val="003E371A"/>
    <w:rsid w:val="0077492D"/>
    <w:rsid w:val="00D03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71A"/>
    <w:rPr>
      <w:sz w:val="18"/>
      <w:szCs w:val="18"/>
    </w:rPr>
  </w:style>
  <w:style w:type="paragraph" w:styleId="a4">
    <w:name w:val="footer"/>
    <w:basedOn w:val="a"/>
    <w:link w:val="Char0"/>
    <w:uiPriority w:val="99"/>
    <w:semiHidden/>
    <w:unhideWhenUsed/>
    <w:rsid w:val="003E37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71A"/>
    <w:rPr>
      <w:sz w:val="18"/>
      <w:szCs w:val="18"/>
    </w:rPr>
  </w:style>
  <w:style w:type="paragraph" w:styleId="a5">
    <w:name w:val="Normal (Web)"/>
    <w:basedOn w:val="a"/>
    <w:uiPriority w:val="99"/>
    <w:unhideWhenUsed/>
    <w:rsid w:val="003E371A"/>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2009697">
      <w:bodyDiv w:val="1"/>
      <w:marLeft w:val="0"/>
      <w:marRight w:val="0"/>
      <w:marTop w:val="0"/>
      <w:marBottom w:val="0"/>
      <w:divBdr>
        <w:top w:val="none" w:sz="0" w:space="0" w:color="auto"/>
        <w:left w:val="none" w:sz="0" w:space="0" w:color="auto"/>
        <w:bottom w:val="none" w:sz="0" w:space="0" w:color="auto"/>
        <w:right w:val="none" w:sz="0" w:space="0" w:color="auto"/>
      </w:divBdr>
      <w:divsChild>
        <w:div w:id="1290863851">
          <w:marLeft w:val="0"/>
          <w:marRight w:val="0"/>
          <w:marTop w:val="0"/>
          <w:marBottom w:val="0"/>
          <w:divBdr>
            <w:top w:val="none" w:sz="0" w:space="0" w:color="auto"/>
            <w:left w:val="none" w:sz="0" w:space="0" w:color="auto"/>
            <w:bottom w:val="none" w:sz="0" w:space="0" w:color="auto"/>
            <w:right w:val="none" w:sz="0" w:space="0" w:color="auto"/>
          </w:divBdr>
          <w:divsChild>
            <w:div w:id="942149965">
              <w:marLeft w:val="0"/>
              <w:marRight w:val="0"/>
              <w:marTop w:val="0"/>
              <w:marBottom w:val="0"/>
              <w:divBdr>
                <w:top w:val="none" w:sz="0" w:space="0" w:color="auto"/>
                <w:left w:val="none" w:sz="0" w:space="0" w:color="auto"/>
                <w:bottom w:val="none" w:sz="0" w:space="0" w:color="auto"/>
                <w:right w:val="none" w:sz="0" w:space="0" w:color="auto"/>
              </w:divBdr>
              <w:divsChild>
                <w:div w:id="1096056362">
                  <w:marLeft w:val="300"/>
                  <w:marRight w:val="0"/>
                  <w:marTop w:val="0"/>
                  <w:marBottom w:val="0"/>
                  <w:divBdr>
                    <w:top w:val="none" w:sz="0" w:space="0" w:color="auto"/>
                    <w:left w:val="none" w:sz="0" w:space="0" w:color="auto"/>
                    <w:bottom w:val="none" w:sz="0" w:space="0" w:color="auto"/>
                    <w:right w:val="none" w:sz="0" w:space="0" w:color="auto"/>
                  </w:divBdr>
                  <w:divsChild>
                    <w:div w:id="1421870209">
                      <w:marLeft w:val="0"/>
                      <w:marRight w:val="0"/>
                      <w:marTop w:val="0"/>
                      <w:marBottom w:val="0"/>
                      <w:divBdr>
                        <w:top w:val="none" w:sz="0" w:space="0" w:color="auto"/>
                        <w:left w:val="none" w:sz="0" w:space="0" w:color="auto"/>
                        <w:bottom w:val="none" w:sz="0" w:space="0" w:color="auto"/>
                        <w:right w:val="none" w:sz="0" w:space="0" w:color="auto"/>
                      </w:divBdr>
                      <w:divsChild>
                        <w:div w:id="21983252">
                          <w:marLeft w:val="0"/>
                          <w:marRight w:val="0"/>
                          <w:marTop w:val="0"/>
                          <w:marBottom w:val="0"/>
                          <w:divBdr>
                            <w:top w:val="none" w:sz="0" w:space="0" w:color="auto"/>
                            <w:left w:val="none" w:sz="0" w:space="0" w:color="auto"/>
                            <w:bottom w:val="none" w:sz="0" w:space="0" w:color="auto"/>
                            <w:right w:val="none" w:sz="0" w:space="0" w:color="auto"/>
                          </w:divBdr>
                          <w:divsChild>
                            <w:div w:id="1856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2016-05-18T02:37:00Z</dcterms:created>
  <dcterms:modified xsi:type="dcterms:W3CDTF">2016-05-18T02:38:00Z</dcterms:modified>
</cp:coreProperties>
</file>